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4968" w:rsidRPr="00A24968" w:rsidRDefault="00A24968" w:rsidP="00A24968">
      <w:pPr>
        <w:widowControl/>
        <w:shd w:val="clear" w:color="auto" w:fill="FFFFFF"/>
        <w:jc w:val="center"/>
        <w:outlineLvl w:val="2"/>
        <w:rPr>
          <w:rFonts w:ascii="inherit" w:eastAsia="微软雅黑" w:hAnsi="inherit" w:cs="宋体" w:hint="eastAsia"/>
          <w:color w:val="383838"/>
          <w:kern w:val="0"/>
          <w:sz w:val="33"/>
          <w:szCs w:val="33"/>
        </w:rPr>
      </w:pPr>
      <w:bookmarkStart w:id="0" w:name="_GoBack"/>
      <w:r w:rsidRPr="00A24968">
        <w:rPr>
          <w:rFonts w:ascii="inherit" w:eastAsia="微软雅黑" w:hAnsi="inherit" w:cs="宋体"/>
          <w:color w:val="383838"/>
          <w:kern w:val="0"/>
          <w:sz w:val="33"/>
          <w:szCs w:val="33"/>
        </w:rPr>
        <w:t>【管理办法】高等学校预防和处理学术不端行为办法（</w:t>
      </w:r>
      <w:r w:rsidRPr="00A24968">
        <w:rPr>
          <w:rFonts w:ascii="inherit" w:eastAsia="微软雅黑" w:hAnsi="inherit" w:cs="宋体"/>
          <w:color w:val="383838"/>
          <w:kern w:val="0"/>
          <w:sz w:val="33"/>
          <w:szCs w:val="33"/>
        </w:rPr>
        <w:t>2016</w:t>
      </w:r>
      <w:r w:rsidRPr="00A24968">
        <w:rPr>
          <w:rFonts w:ascii="inherit" w:eastAsia="微软雅黑" w:hAnsi="inherit" w:cs="宋体"/>
          <w:color w:val="383838"/>
          <w:kern w:val="0"/>
          <w:sz w:val="33"/>
          <w:szCs w:val="33"/>
        </w:rPr>
        <w:t>年</w:t>
      </w:r>
      <w:r w:rsidRPr="00A24968">
        <w:rPr>
          <w:rFonts w:ascii="inherit" w:eastAsia="微软雅黑" w:hAnsi="inherit" w:cs="宋体"/>
          <w:color w:val="383838"/>
          <w:kern w:val="0"/>
          <w:sz w:val="33"/>
          <w:szCs w:val="33"/>
        </w:rPr>
        <w:t>6</w:t>
      </w:r>
      <w:r w:rsidRPr="00A24968">
        <w:rPr>
          <w:rFonts w:ascii="inherit" w:eastAsia="微软雅黑" w:hAnsi="inherit" w:cs="宋体"/>
          <w:color w:val="383838"/>
          <w:kern w:val="0"/>
          <w:sz w:val="33"/>
          <w:szCs w:val="33"/>
        </w:rPr>
        <w:t>月</w:t>
      </w:r>
      <w:r w:rsidRPr="00A24968">
        <w:rPr>
          <w:rFonts w:ascii="inherit" w:eastAsia="微软雅黑" w:hAnsi="inherit" w:cs="宋体"/>
          <w:color w:val="383838"/>
          <w:kern w:val="0"/>
          <w:sz w:val="33"/>
          <w:szCs w:val="33"/>
        </w:rPr>
        <w:t>16</w:t>
      </w:r>
      <w:r w:rsidRPr="00A24968">
        <w:rPr>
          <w:rFonts w:ascii="inherit" w:eastAsia="微软雅黑" w:hAnsi="inherit" w:cs="宋体"/>
          <w:color w:val="383838"/>
          <w:kern w:val="0"/>
          <w:sz w:val="33"/>
          <w:szCs w:val="33"/>
        </w:rPr>
        <w:t>日发布）</w:t>
      </w:r>
      <w:bookmarkEnd w:id="0"/>
      <w:r w:rsidRPr="00A24968">
        <w:rPr>
          <w:rFonts w:ascii="微软雅黑" w:eastAsia="微软雅黑" w:hAnsi="微软雅黑" w:cs="宋体" w:hint="eastAsia"/>
          <w:color w:val="393939"/>
          <w:kern w:val="0"/>
          <w:sz w:val="24"/>
          <w:szCs w:val="24"/>
        </w:rPr>
        <w:t> </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第一章总则</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第一条 为有效预防和严肃查处高等学校发生的学术不端行为，维护学术诚信，促进学术创新和发展，根据《中华人民共和国高等教育法》《中华人民共和国科学技术进步法》《中华人民共和国学位条例》等法律法规，制定本办法。</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第二条 本办法所称学术不端行为是指高等学校及其教学科研人员、管理人员和学生，在科学研究及相关活动中发生的违反公认的学术准则、违背学术诚信的行为。</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第三条 高等学校预防与处理学术不端行为应坚持预防为主、教育与惩戒结合的原则。</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第四条 教育部、国务院有关部门和省级教育部门负责制定高等学校学风建设的宏观政策，指导和监督高等学校学风建设工作，建立健全对所主管高等学校重大学术不端行为的处理机制，建立高校学术不端行为的通报与相关信息公开制度。</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第五条 高等学校是学术不端行为预防与处理的主体。高等学校应当建设集教育、预防、监督、惩治于一体的学术诚信体系，建立由主要负责人领导的学风建设工作机制，明确职责分工；依据本办法完善本校学术不端行为预防与处理的规则与程序。</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高等学校应当充分发挥学术委员会在学风建设方面的作用，支持和保障学术委员会依法履行职责，调查、认定学术不端行为。</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第二章教育与预防</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第六条 高等学校应当完善学术治理体系，建立科学公正的学术评价和学术发展制度，营造鼓励创新、宽容失败、不骄不躁、风清气正的学术环境。</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高等学校教学科研人员、管理人员、学生在科研活动中应当遵循实事求是的科学精神和严谨认真的治学态度，恪守学术诚信，遵循学术准则，尊重和保护他人知识产权等合法权益。</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第七条 高等学校应当将学术规范和学术诚信教育，作为教师培训和学生教育的必要内容，以多种形式开展教育、培训。</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教师对其指导的学生应当进行学术规范、学术诚信教育和指导，对学生公开发表论文、研究和撰写学位论文是否符合学术规范、学术诚信要求，进行必要的检查与审核。</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第八条 高等学校应当利用信息技术等手段，建立对学术成果、学位论文所涉及内容的知识产权查询制度，健全学术规范监督机制。</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第九条 高等学校应当建立健全科研管理制度，在合理期限内保存研究的原始数据和资料，保证科研档案和数据的真实性、完整性。</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高等学校应当完善科研项目评审、学术成果鉴定程序，结合学科特点，对非涉密的科研项目申报材料、学术成果的基本信息以适当方式进行公开。</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第十条 高等学校应当遵循学术研究规律，建立科学的学术水平考核评价标准、办法，引导教学科研人员和学生潜心研究，形成具有创新性、独创性的研究成果。</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第十一条 高等学校应当建立教学科研人员学术诚信记录，在年度考核、职称评定、岗位聘用、课题立项、人才计划、评优奖励中强化学术诚信考核。</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第三章受理与调查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第十二条 高等学校应当明确具体部门，负责受理社会组织、个人对本校教学科研人员、管理人员及学生学术不端行为的举报；有条件的，可以设立专门岗位或者指定专人，负责学术诚信和不端行为举报相关事宜的咨询、受理、调查等工作。</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第十三条 对学术不端行为的举报，一般应当以书面方式实名提出，并符合下列条件：</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（一）有明确的举报对象；</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（二）有实施学术不端行为的事实；</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（三）有客观的证据材料或者查证线索。</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以匿名方式举报，但事实清楚、证据充分或者线索明确的，高等学校应当视情况予以受理。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第十四条 高等学校对媒体公开报道、其他学术机构或者社会组织主动披露的涉及本校人员的学术不端行为，应当依据职权，主动进行调查处理。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第十五条 高等学校受理机构认为举报材料符合条件的，应当及时</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受理决定，并通知举报人。不予受理的，应当书面说明理由。</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第十六条 学术不端行为举报受理后，应当交由学校学术委员会按照相关程序组织开展调查。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学术委员会可委托有关专家就举报内容的合理性、调查的可能性等进行初步审查，并</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是否进入正式调查的决定。</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决定不进入正式调查的，应当告知举报人。举报人如有新的证据，可以提出异议。异议成立的，应当进入正式调查。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第十七条 高等学校学术委员会决定进入正式调查的，应当通知被举报人。</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被调查行为涉及资助项目的，可以同时通知项目资助方。</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第十八条 高等学校学术委员会应当组成调查组，负责对被举报行为进行调查；但对事实清楚、证据确凿、情节简单的被举报行为，也可以采用简易调查程序，具体办法由学术委员会确定。</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调查组应当不少于３人，必要时应当包括学校纪检、监察机构指派的工作人员，可以邀请同行专家参与调查或者以咨询等方式提供学术判断。</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被调查行为涉及资助项目的，可以邀请项目资助方委派相关专业人员参与调查组。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第十九条 调查组的组成人员与举报人或者被举报人有合作研究、亲属或者导师学生等直接利害关系的，应当回避。</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第二十条 调查可通过查询资料、现场查看、实验检验、询问证人、询问举报人和被举报人等方式进行。调查组认为有必要的，可以委托无利害关系的专家或者第三</w:t>
      </w:r>
      <w:proofErr w:type="gramStart"/>
      <w:r w:rsidRPr="00A24968">
        <w:rPr>
          <w:rFonts w:ascii="宋体" w:eastAsia="宋体" w:hAnsi="宋体" w:cs="宋体" w:hint="eastAsia"/>
          <w:color w:val="393939"/>
          <w:kern w:val="0"/>
          <w:sz w:val="24"/>
          <w:szCs w:val="24"/>
        </w:rPr>
        <w:t>方专业</w:t>
      </w:r>
      <w:proofErr w:type="gramEnd"/>
      <w:r w:rsidRPr="00A24968">
        <w:rPr>
          <w:rFonts w:ascii="宋体" w:eastAsia="宋体" w:hAnsi="宋体" w:cs="宋体" w:hint="eastAsia"/>
          <w:color w:val="393939"/>
          <w:kern w:val="0"/>
          <w:sz w:val="24"/>
          <w:szCs w:val="24"/>
        </w:rPr>
        <w:t>机构就有关事项进行独立调查或者验证。</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第二十一条 调查组在调查过程中，应当认真听取被举报人的陈述、申辩，对有关事实、理由和证据进行核实；认为必要的，可以采取听证方式。</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第二十二条 有关单位和个人应当为调查组开展工作提供必要的便利和协助。</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举报人、被举报人、证人及其他有关人员应当如实回答询问，配合调查，提供相关证据材料，不得隐瞒或者提供虚假信息。</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第二十三条 调查过程中，出现知识产权等争议引发的法律纠纷的，且该争议可能影响行为定性的，应当中止调查，待争议解决后重启调查。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第二十四条 调查组应当在查清事实的基础上形成调查报告。调查报告应当包括学术不端行为责任人的确认、调查过程、事实认定及理由、调查结论等。</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学术不端行为由多人集体做出的，调查报告中应当区别各责任人在行为中所发挥的作用。</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第二十五条 接触举报材料和参与调查处理的人员，不得向无关人员透露举报人、被举报人个人信息及调查情况。</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第四章认定</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第二十六条 高等学校学术委员会应当对调查组提交的调查报告进行审查；必要的，应当听取调查组的汇报。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学术委员会可以召开全体会议或者授权专门委员会对被调查行为是否构成学术不端行为以及行为的性质、情节等</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认定结论，并依职权</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处理或建议学校</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相应处理。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第二十七条 经调查，确认被举报人在科学研究及相关活动中有下列行为之一的，应当认定为构成学术不端行为：</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（一）剽窃、抄袭、侵占他人学术成果；</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（二）篡改他人研究成果；</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（三）伪造科研数据、资料、文献、注释，或者捏造事实、编造虚假研究成果；</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（四）未参加研究或创作而在研究成果、学术论文上署名，未经他人许可而不当使用他人署名，虚构合作者共同署名，或者多人共同完成研究而在成果中未注明他人工作、贡献；</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（五）在申报课题、成果、奖励和职务评审评定、申请学位等过程中提供虚假学术信息；</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（六）买卖论文、由他人代写或者为他人代写论文；</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（七）其他根据高等学校或者有关学术组织、相关科研管理机构制定的规则，属于学术不端的行为。</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第二十八条 有学术不端行为且有下列情形之一的，应当认定为情节严重：</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（一）造成恶劣影响的；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（二）存在利益输送或者利益交换的；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（三）对举报人进行打击报复的；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（四）有组织实施学术不端行为的；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（五）多次实施学术不端行为的；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（六）其他造成严重后果或者恶劣影响的。</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第五章处理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第二十九条 高等学校应当根据学术委员会的认定结论和处理建议，结合行为性质和情节轻重，依职权和规定程序对学术不端行为责任人</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如下处理：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（一）通报批评；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（二）终止或者撤销相关的科研项目，并在一定期限内取消申请资格；</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（三）撤销学术奖励或者荣誉称号；</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（四）辞退或解聘；</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（五）法律、法规及规章规定的其他处理措施。</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同时，可以依照有关规定，给予警告、记过、降低岗位等级或者撤职、开除等处分。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学术不端行为责任人获得有关部门、机构设立的科研项目、学术奖励或者荣誉称号等利益的，学校应当同时向有关主管部门提出处理建议。</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学生有学术不端行为的，还应当按照学生管理的相关规定，给予相应的学籍处分。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学术不端行为与获得学位有直接关联的，由学位授予单位作暂缓授予学位、不授予学位或者依法撤销学位等处理。</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第三十条 高等学校对学术不端行为</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处理决定，应当制作处理决定书，载明以下内容：</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（一）责任人的基本情况；</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（二）经查证的学术不端行为事实；</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（三）处理意见和依据；</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（四）救济途径和期限；</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（五）其他必要内容。</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第三十一条 经调查认定，不构成学术不端行为的，根据被举报人申请，高等学校应当通过一定方式为其消除影响、恢复名誉等。</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调查处理过程中，发现举报人存在捏造事实、诬告陷害等行为的，应当认定为举报不实或者虚假举报，举报人应当承担相应责任。属于本单位人员的，</w:t>
      </w:r>
      <w:r w:rsidRPr="00A24968">
        <w:rPr>
          <w:rFonts w:ascii="宋体" w:eastAsia="宋体" w:hAnsi="宋体" w:cs="宋体" w:hint="eastAsia"/>
          <w:color w:val="393939"/>
          <w:kern w:val="0"/>
          <w:sz w:val="24"/>
          <w:szCs w:val="24"/>
        </w:rPr>
        <w:lastRenderedPageBreak/>
        <w:t>高等学校应当按照有关规定给</w:t>
      </w:r>
      <w:proofErr w:type="gramStart"/>
      <w:r w:rsidRPr="00A24968">
        <w:rPr>
          <w:rFonts w:ascii="宋体" w:eastAsia="宋体" w:hAnsi="宋体" w:cs="宋体" w:hint="eastAsia"/>
          <w:color w:val="393939"/>
          <w:kern w:val="0"/>
          <w:sz w:val="24"/>
          <w:szCs w:val="24"/>
        </w:rPr>
        <w:t>予处理</w:t>
      </w:r>
      <w:proofErr w:type="gramEnd"/>
      <w:r w:rsidRPr="00A24968">
        <w:rPr>
          <w:rFonts w:ascii="宋体" w:eastAsia="宋体" w:hAnsi="宋体" w:cs="宋体" w:hint="eastAsia"/>
          <w:color w:val="393939"/>
          <w:kern w:val="0"/>
          <w:sz w:val="24"/>
          <w:szCs w:val="24"/>
        </w:rPr>
        <w:t>；不属于本单位人员的，应通报其所在单位，并提出处理建议。</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第三十二条 参与举报受理、调查和处理的人员违反保密等规定，造成不良影响的，按照有关规定给予处分或其他处理。</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第六章复核</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第三十三条 举报人或者学术不端行为责任人对处理决定不服的，可以在收到处理决定之日起30日内，以书面形式向高等学校提出异议或者复核申请。</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异议和复核不影响处理决定的执行。</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第三十四条 高等学校收到异议或者复核申请后，应当交由学术委员会组织讨论，并于15日内</w:t>
      </w:r>
      <w:proofErr w:type="gramStart"/>
      <w:r w:rsidRPr="00A24968">
        <w:rPr>
          <w:rFonts w:ascii="宋体" w:eastAsia="宋体" w:hAnsi="宋体" w:cs="宋体" w:hint="eastAsia"/>
          <w:color w:val="393939"/>
          <w:kern w:val="0"/>
          <w:sz w:val="24"/>
          <w:szCs w:val="24"/>
        </w:rPr>
        <w:t>作出</w:t>
      </w:r>
      <w:proofErr w:type="gramEnd"/>
      <w:r w:rsidRPr="00A24968">
        <w:rPr>
          <w:rFonts w:ascii="宋体" w:eastAsia="宋体" w:hAnsi="宋体" w:cs="宋体" w:hint="eastAsia"/>
          <w:color w:val="393939"/>
          <w:kern w:val="0"/>
          <w:sz w:val="24"/>
          <w:szCs w:val="24"/>
        </w:rPr>
        <w:t>是否受理的决定。</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决定受理的，学校或者学术委员会可以另行组织调查组或者委托第三方机构进行调查；决定不予受理的，应当书面通知当事人。</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第三十五条 当事人对复核决定不服，仍以同一事实和理由提出异议或者申请复核的，不予受理；向有关主管部门提出申诉的，按照相关规定执行。</w:t>
      </w:r>
    </w:p>
    <w:p w:rsidR="00A24968" w:rsidRPr="00A24968" w:rsidRDefault="00A24968" w:rsidP="00A24968">
      <w:pPr>
        <w:widowControl/>
        <w:shd w:val="clear" w:color="auto" w:fill="FFFFFF"/>
        <w:spacing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w:t>
      </w:r>
      <w:r w:rsidRPr="00A24968">
        <w:rPr>
          <w:rFonts w:ascii="宋体" w:eastAsia="宋体" w:hAnsi="宋体" w:cs="宋体" w:hint="eastAsia"/>
          <w:b/>
          <w:bCs/>
          <w:color w:val="393939"/>
          <w:kern w:val="0"/>
          <w:sz w:val="24"/>
          <w:szCs w:val="24"/>
          <w:bdr w:val="none" w:sz="0" w:space="0" w:color="auto" w:frame="1"/>
        </w:rPr>
        <w:t>第七章监督</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第三十六条 高等学校应当按年度发布学风建设工作报告，并向社会公开，接受社会监督。</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第三十七条 高等学校处理学术不端行为推诿塞责、隐瞒包庇、查处不力的，主管部门可以直接组织或者委托相关机构查处。</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第三十八条 高等学校对本校发生的学术不端行为，未能及时查处并做出公正结论，造成恶劣影响的，主管部门应当追究相关领导的责任，并进行通报。</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高等学校为获得相关利益，有组织实施学术不端行为的，主管部门调查确认后，应当撤销高等学校由此获得的相关权利、项目以及其他利益，并追究学校主要负责人、直接负责人的责任。</w:t>
      </w:r>
    </w:p>
    <w:p w:rsidR="00A24968" w:rsidRPr="00A24968" w:rsidRDefault="00A24968" w:rsidP="00A24968">
      <w:pPr>
        <w:widowControl/>
        <w:shd w:val="clear" w:color="auto" w:fill="FFFFFF"/>
        <w:spacing w:after="150" w:line="480" w:lineRule="atLeast"/>
        <w:jc w:val="center"/>
        <w:rPr>
          <w:rFonts w:ascii="微软雅黑" w:eastAsia="微软雅黑" w:hAnsi="微软雅黑" w:cs="宋体" w:hint="eastAsia"/>
          <w:color w:val="393939"/>
          <w:kern w:val="0"/>
          <w:sz w:val="24"/>
          <w:szCs w:val="24"/>
        </w:rPr>
      </w:pPr>
      <w:r w:rsidRPr="00A24968">
        <w:rPr>
          <w:rFonts w:ascii="宋体" w:eastAsia="宋体" w:hAnsi="宋体" w:cs="宋体" w:hint="eastAsia"/>
          <w:b/>
          <w:bCs/>
          <w:color w:val="393939"/>
          <w:kern w:val="0"/>
          <w:sz w:val="24"/>
          <w:szCs w:val="24"/>
        </w:rPr>
        <w:t xml:space="preserve">　　第八章附则</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lastRenderedPageBreak/>
        <w:t xml:space="preserve">　　第三十九条 高等学校应当根据本办法，结合学校实际和学科特点，制定本校学术不端行为查处规则及处理办法，明确各类学术不端行为的惩处标准。有关规则应当经学校学术委员会和教职工代表大会讨论通过。</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第四十条 高等学校主管部门对直接受理的学术不端案件，可自行组织调查组或者指定、委托高等学校、有关机构组织调查、认定。对学术不端行为责任人的处理，根据本办法及国家有关规定执行。</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教育系统所属科研机构及其他单位有关人员学术不端行为的调查与处理，可参照本办法执行。</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第四十一条 本办法自2016年9月1日起施行。</w:t>
      </w:r>
    </w:p>
    <w:p w:rsidR="00A24968" w:rsidRPr="00A24968" w:rsidRDefault="00A24968" w:rsidP="00A24968">
      <w:pPr>
        <w:widowControl/>
        <w:shd w:val="clear" w:color="auto" w:fill="FFFFFF"/>
        <w:spacing w:after="150" w:line="480" w:lineRule="atLeast"/>
        <w:jc w:val="left"/>
        <w:rPr>
          <w:rFonts w:ascii="微软雅黑" w:eastAsia="微软雅黑" w:hAnsi="微软雅黑" w:cs="宋体" w:hint="eastAsia"/>
          <w:color w:val="393939"/>
          <w:kern w:val="0"/>
          <w:sz w:val="24"/>
          <w:szCs w:val="24"/>
        </w:rPr>
      </w:pPr>
      <w:r w:rsidRPr="00A24968">
        <w:rPr>
          <w:rFonts w:ascii="宋体" w:eastAsia="宋体" w:hAnsi="宋体" w:cs="宋体" w:hint="eastAsia"/>
          <w:color w:val="393939"/>
          <w:kern w:val="0"/>
          <w:sz w:val="24"/>
          <w:szCs w:val="24"/>
        </w:rPr>
        <w:t xml:space="preserve">　　教育部此前发布的有关规章、文件中的相关规定与本办法不一致的，以本办法为准。</w:t>
      </w:r>
    </w:p>
    <w:p w:rsidR="00A24968" w:rsidRPr="00A24968" w:rsidRDefault="00A24968" w:rsidP="00A24968">
      <w:pPr>
        <w:widowControl/>
        <w:shd w:val="clear" w:color="auto" w:fill="FFFFFF"/>
        <w:spacing w:line="480" w:lineRule="atLeast"/>
        <w:jc w:val="left"/>
        <w:rPr>
          <w:rFonts w:ascii="微软雅黑" w:eastAsia="微软雅黑" w:hAnsi="微软雅黑" w:cs="宋体" w:hint="eastAsia"/>
          <w:color w:val="000000"/>
          <w:kern w:val="0"/>
          <w:sz w:val="24"/>
          <w:szCs w:val="24"/>
        </w:rPr>
      </w:pPr>
      <w:r w:rsidRPr="00A24968">
        <w:rPr>
          <w:rFonts w:ascii="微软雅黑" w:eastAsia="微软雅黑" w:hAnsi="微软雅黑" w:cs="宋体" w:hint="eastAsia"/>
          <w:color w:val="000000"/>
          <w:kern w:val="0"/>
          <w:sz w:val="24"/>
          <w:szCs w:val="24"/>
        </w:rPr>
        <w:t> </w:t>
      </w:r>
    </w:p>
    <w:p w:rsidR="000E368C" w:rsidRPr="00A24968" w:rsidRDefault="000E368C"/>
    <w:sectPr w:rsidR="000E368C" w:rsidRPr="00A249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68"/>
    <w:rsid w:val="000E368C"/>
    <w:rsid w:val="00A24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9989"/>
  <w15:chartTrackingRefBased/>
  <w15:docId w15:val="{A38D7239-FA7A-4A26-8AE8-D6B1F5A4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A2496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24968"/>
    <w:rPr>
      <w:rFonts w:ascii="宋体" w:eastAsia="宋体" w:hAnsi="宋体" w:cs="宋体"/>
      <w:b/>
      <w:bCs/>
      <w:kern w:val="0"/>
      <w:sz w:val="27"/>
      <w:szCs w:val="27"/>
    </w:rPr>
  </w:style>
  <w:style w:type="paragraph" w:styleId="a3">
    <w:name w:val="Normal (Web)"/>
    <w:basedOn w:val="a"/>
    <w:uiPriority w:val="99"/>
    <w:semiHidden/>
    <w:unhideWhenUsed/>
    <w:rsid w:val="00A249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9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3497">
      <w:bodyDiv w:val="1"/>
      <w:marLeft w:val="0"/>
      <w:marRight w:val="0"/>
      <w:marTop w:val="0"/>
      <w:marBottom w:val="0"/>
      <w:divBdr>
        <w:top w:val="none" w:sz="0" w:space="0" w:color="auto"/>
        <w:left w:val="none" w:sz="0" w:space="0" w:color="auto"/>
        <w:bottom w:val="none" w:sz="0" w:space="0" w:color="auto"/>
        <w:right w:val="none" w:sz="0" w:space="0" w:color="auto"/>
      </w:divBdr>
      <w:divsChild>
        <w:div w:id="2003582813">
          <w:marLeft w:val="0"/>
          <w:marRight w:val="0"/>
          <w:marTop w:val="0"/>
          <w:marBottom w:val="0"/>
          <w:divBdr>
            <w:top w:val="none" w:sz="0" w:space="0" w:color="auto"/>
            <w:left w:val="none" w:sz="0" w:space="0" w:color="auto"/>
            <w:bottom w:val="single" w:sz="6" w:space="8" w:color="D9D9D9"/>
            <w:right w:val="none" w:sz="0" w:space="0" w:color="auto"/>
          </w:divBdr>
        </w:div>
        <w:div w:id="832911419">
          <w:marLeft w:val="750"/>
          <w:marRight w:val="750"/>
          <w:marTop w:val="750"/>
          <w:marBottom w:val="750"/>
          <w:divBdr>
            <w:top w:val="none" w:sz="0" w:space="0" w:color="auto"/>
            <w:left w:val="none" w:sz="0" w:space="0" w:color="auto"/>
            <w:bottom w:val="none" w:sz="0" w:space="0" w:color="auto"/>
            <w:right w:val="none" w:sz="0" w:space="0" w:color="auto"/>
          </w:divBdr>
          <w:divsChild>
            <w:div w:id="654139707">
              <w:marLeft w:val="0"/>
              <w:marRight w:val="0"/>
              <w:marTop w:val="0"/>
              <w:marBottom w:val="0"/>
              <w:divBdr>
                <w:top w:val="none" w:sz="0" w:space="0" w:color="auto"/>
                <w:left w:val="none" w:sz="0" w:space="0" w:color="auto"/>
                <w:bottom w:val="none" w:sz="0" w:space="0" w:color="auto"/>
                <w:right w:val="none" w:sz="0" w:space="0" w:color="auto"/>
              </w:divBdr>
              <w:divsChild>
                <w:div w:id="1079596122">
                  <w:marLeft w:val="0"/>
                  <w:marRight w:val="0"/>
                  <w:marTop w:val="0"/>
                  <w:marBottom w:val="0"/>
                  <w:divBdr>
                    <w:top w:val="none" w:sz="0" w:space="0" w:color="auto"/>
                    <w:left w:val="none" w:sz="0" w:space="0" w:color="auto"/>
                    <w:bottom w:val="none" w:sz="0" w:space="0" w:color="auto"/>
                    <w:right w:val="none" w:sz="0" w:space="0" w:color="auto"/>
                  </w:divBdr>
                  <w:divsChild>
                    <w:div w:id="15694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699</Words>
  <Characters>3986</Characters>
  <Application>Microsoft Office Word</Application>
  <DocSecurity>0</DocSecurity>
  <Lines>33</Lines>
  <Paragraphs>9</Paragraphs>
  <ScaleCrop>false</ScaleCrop>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2020-01-06T10:45:00Z</dcterms:created>
  <dcterms:modified xsi:type="dcterms:W3CDTF">2020-01-06T10:46:00Z</dcterms:modified>
</cp:coreProperties>
</file>